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</w:tblGrid>
      <w:tr w:rsidR="00497DB6" w:rsidRPr="001F12F9" w:rsidTr="00497DB6">
        <w:tc>
          <w:tcPr>
            <w:tcW w:w="4056" w:type="dxa"/>
          </w:tcPr>
          <w:p w:rsidR="00497DB6" w:rsidRPr="001F12F9" w:rsidRDefault="00497DB6" w:rsidP="00497DB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F12F9">
              <w:rPr>
                <w:b/>
                <w:sz w:val="20"/>
                <w:szCs w:val="20"/>
              </w:rPr>
              <w:t>Directions for Use</w:t>
            </w:r>
          </w:p>
        </w:tc>
      </w:tr>
    </w:tbl>
    <w:p w:rsidR="000047D3" w:rsidRPr="001F12F9" w:rsidRDefault="000047D3" w:rsidP="00A028C3">
      <w:pPr>
        <w:tabs>
          <w:tab w:val="left" w:pos="0"/>
        </w:tabs>
        <w:spacing w:after="0"/>
        <w:rPr>
          <w:b/>
          <w:sz w:val="20"/>
          <w:szCs w:val="20"/>
        </w:rPr>
      </w:pPr>
    </w:p>
    <w:p w:rsidR="00740842" w:rsidRPr="00555A11" w:rsidRDefault="000047D3" w:rsidP="00A028C3">
      <w:pPr>
        <w:tabs>
          <w:tab w:val="left" w:pos="0"/>
        </w:tabs>
        <w:spacing w:after="0"/>
        <w:rPr>
          <w:b/>
          <w:sz w:val="18"/>
          <w:szCs w:val="18"/>
        </w:rPr>
      </w:pPr>
      <w:r w:rsidRPr="00555A11">
        <w:rPr>
          <w:b/>
          <w:sz w:val="18"/>
          <w:szCs w:val="18"/>
        </w:rPr>
        <w:t>For Grease Tubes</w:t>
      </w:r>
      <w:r w:rsidRPr="00555A11">
        <w:rPr>
          <w:sz w:val="18"/>
          <w:szCs w:val="18"/>
        </w:rPr>
        <w:t xml:space="preserve"> – Follow directions on grease gun for loading instructions. To insure proper service pump out any </w:t>
      </w:r>
      <w:r w:rsidR="00C42846" w:rsidRPr="00555A11">
        <w:rPr>
          <w:sz w:val="18"/>
          <w:szCs w:val="18"/>
        </w:rPr>
        <w:t>existing</w:t>
      </w:r>
      <w:r w:rsidRPr="00555A11">
        <w:rPr>
          <w:sz w:val="18"/>
          <w:szCs w:val="18"/>
        </w:rPr>
        <w:t xml:space="preserve"> grease prior to applying or pumping </w:t>
      </w:r>
      <w:r w:rsidRPr="00555A11">
        <w:rPr>
          <w:b/>
          <w:sz w:val="18"/>
          <w:szCs w:val="18"/>
        </w:rPr>
        <w:t xml:space="preserve">Encore Industrial’s </w:t>
      </w:r>
      <w:proofErr w:type="spellStart"/>
      <w:r w:rsidR="00CF29B5">
        <w:rPr>
          <w:b/>
          <w:sz w:val="18"/>
          <w:szCs w:val="18"/>
        </w:rPr>
        <w:t>Litho</w:t>
      </w:r>
      <w:proofErr w:type="spellEnd"/>
      <w:r w:rsidR="00CF29B5">
        <w:rPr>
          <w:b/>
          <w:sz w:val="18"/>
          <w:szCs w:val="18"/>
        </w:rPr>
        <w:t xml:space="preserve"> </w:t>
      </w:r>
      <w:proofErr w:type="spellStart"/>
      <w:r w:rsidR="00CF29B5">
        <w:rPr>
          <w:b/>
          <w:sz w:val="18"/>
          <w:szCs w:val="18"/>
        </w:rPr>
        <w:t>Tek</w:t>
      </w:r>
      <w:proofErr w:type="spellEnd"/>
      <w:r w:rsidR="00CF29B5">
        <w:rPr>
          <w:b/>
          <w:sz w:val="18"/>
          <w:szCs w:val="18"/>
        </w:rPr>
        <w:t xml:space="preserve"> EP</w:t>
      </w:r>
      <w:r w:rsidR="00497DB6" w:rsidRPr="00555A11">
        <w:rPr>
          <w:b/>
          <w:sz w:val="18"/>
          <w:szCs w:val="18"/>
        </w:rPr>
        <w:t>.</w:t>
      </w:r>
    </w:p>
    <w:p w:rsidR="001943A9" w:rsidRPr="00555A11" w:rsidRDefault="001943A9" w:rsidP="00A028C3">
      <w:pPr>
        <w:tabs>
          <w:tab w:val="left" w:pos="0"/>
        </w:tabs>
        <w:spacing w:after="0"/>
        <w:rPr>
          <w:b/>
          <w:sz w:val="18"/>
          <w:szCs w:val="18"/>
        </w:rPr>
      </w:pPr>
    </w:p>
    <w:p w:rsidR="001943A9" w:rsidRPr="00555A11" w:rsidRDefault="001943A9" w:rsidP="00A028C3">
      <w:pPr>
        <w:tabs>
          <w:tab w:val="left" w:pos="0"/>
        </w:tabs>
        <w:spacing w:after="0"/>
        <w:rPr>
          <w:sz w:val="18"/>
          <w:szCs w:val="18"/>
        </w:rPr>
      </w:pPr>
      <w:r w:rsidRPr="00555A11">
        <w:rPr>
          <w:b/>
          <w:sz w:val="18"/>
          <w:szCs w:val="18"/>
        </w:rPr>
        <w:t xml:space="preserve">For Pails &amp; Drums – </w:t>
      </w:r>
      <w:r w:rsidRPr="00555A11">
        <w:rPr>
          <w:sz w:val="18"/>
          <w:szCs w:val="18"/>
        </w:rPr>
        <w:t>Follow directions indicated on the grease pump for proper use.</w:t>
      </w:r>
    </w:p>
    <w:p w:rsidR="00C05E45" w:rsidRPr="001F12F9" w:rsidRDefault="00C05E45" w:rsidP="00A028C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A028C3" w:rsidRPr="001F12F9" w:rsidTr="00A10517">
        <w:trPr>
          <w:trHeight w:val="130"/>
        </w:trPr>
        <w:tc>
          <w:tcPr>
            <w:tcW w:w="3438" w:type="dxa"/>
          </w:tcPr>
          <w:p w:rsidR="00A028C3" w:rsidRPr="001F12F9" w:rsidRDefault="003E5D64">
            <w:pPr>
              <w:rPr>
                <w:sz w:val="20"/>
                <w:szCs w:val="20"/>
              </w:rPr>
            </w:pPr>
            <w:r w:rsidRPr="001F12F9">
              <w:rPr>
                <w:sz w:val="20"/>
                <w:szCs w:val="20"/>
              </w:rPr>
              <w:t>HMIS Codes</w:t>
            </w:r>
          </w:p>
        </w:tc>
      </w:tr>
      <w:tr w:rsidR="00A028C3" w:rsidRPr="001F12F9" w:rsidTr="00A10517">
        <w:trPr>
          <w:trHeight w:val="68"/>
        </w:trPr>
        <w:tc>
          <w:tcPr>
            <w:tcW w:w="3438" w:type="dxa"/>
          </w:tcPr>
          <w:p w:rsidR="00A028C3" w:rsidRPr="001F12F9" w:rsidRDefault="00A10517" w:rsidP="009A0229">
            <w:pPr>
              <w:rPr>
                <w:sz w:val="20"/>
                <w:szCs w:val="20"/>
              </w:rPr>
            </w:pPr>
            <w:r w:rsidRPr="001F12F9">
              <w:rPr>
                <w:sz w:val="20"/>
                <w:szCs w:val="20"/>
              </w:rPr>
              <w:t xml:space="preserve">Health          </w:t>
            </w:r>
            <w:r w:rsidR="00B3058B" w:rsidRPr="001F12F9">
              <w:rPr>
                <w:sz w:val="20"/>
                <w:szCs w:val="20"/>
              </w:rPr>
              <w:t xml:space="preserve">                                  </w:t>
            </w:r>
            <w:r w:rsidRPr="001F12F9">
              <w:rPr>
                <w:sz w:val="20"/>
                <w:szCs w:val="20"/>
              </w:rPr>
              <w:t xml:space="preserve"> </w:t>
            </w:r>
            <w:r w:rsidR="009A0229" w:rsidRPr="001F12F9">
              <w:rPr>
                <w:sz w:val="20"/>
                <w:szCs w:val="20"/>
              </w:rPr>
              <w:t>0</w:t>
            </w:r>
            <w:r w:rsidRPr="001F12F9">
              <w:rPr>
                <w:sz w:val="20"/>
                <w:szCs w:val="20"/>
              </w:rPr>
              <w:t xml:space="preserve">                   </w:t>
            </w:r>
            <w:r w:rsidR="00B3058B" w:rsidRPr="001F12F9">
              <w:rPr>
                <w:sz w:val="20"/>
                <w:szCs w:val="20"/>
              </w:rPr>
              <w:t xml:space="preserve">                 </w:t>
            </w:r>
          </w:p>
        </w:tc>
      </w:tr>
      <w:tr w:rsidR="00A028C3" w:rsidRPr="001F12F9" w:rsidTr="00A10517">
        <w:trPr>
          <w:trHeight w:val="262"/>
        </w:trPr>
        <w:tc>
          <w:tcPr>
            <w:tcW w:w="3438" w:type="dxa"/>
          </w:tcPr>
          <w:p w:rsidR="00A028C3" w:rsidRPr="001F12F9" w:rsidRDefault="00A10517" w:rsidP="00B3058B">
            <w:pPr>
              <w:rPr>
                <w:sz w:val="20"/>
                <w:szCs w:val="20"/>
              </w:rPr>
            </w:pPr>
            <w:r w:rsidRPr="001F12F9">
              <w:rPr>
                <w:sz w:val="20"/>
                <w:szCs w:val="20"/>
              </w:rPr>
              <w:t>Flammability</w:t>
            </w:r>
            <w:r w:rsidR="00B3058B" w:rsidRPr="001F12F9">
              <w:rPr>
                <w:sz w:val="20"/>
                <w:szCs w:val="20"/>
              </w:rPr>
              <w:t xml:space="preserve">    </w:t>
            </w:r>
            <w:r w:rsidR="003E5D64" w:rsidRPr="001F12F9">
              <w:rPr>
                <w:sz w:val="20"/>
                <w:szCs w:val="20"/>
              </w:rPr>
              <w:t xml:space="preserve">                              1</w:t>
            </w:r>
            <w:r w:rsidR="00B3058B" w:rsidRPr="001F12F9">
              <w:rPr>
                <w:sz w:val="20"/>
                <w:szCs w:val="20"/>
              </w:rPr>
              <w:t xml:space="preserve">                  </w:t>
            </w:r>
            <w:r w:rsidRPr="001F12F9">
              <w:rPr>
                <w:sz w:val="20"/>
                <w:szCs w:val="20"/>
              </w:rPr>
              <w:t xml:space="preserve">    </w:t>
            </w:r>
            <w:r w:rsidR="00B3058B" w:rsidRPr="001F12F9">
              <w:rPr>
                <w:sz w:val="20"/>
                <w:szCs w:val="20"/>
              </w:rPr>
              <w:t xml:space="preserve">         </w:t>
            </w:r>
          </w:p>
        </w:tc>
      </w:tr>
      <w:tr w:rsidR="00A028C3" w:rsidRPr="001F12F9" w:rsidTr="00A10517">
        <w:trPr>
          <w:trHeight w:val="262"/>
        </w:trPr>
        <w:tc>
          <w:tcPr>
            <w:tcW w:w="3438" w:type="dxa"/>
          </w:tcPr>
          <w:p w:rsidR="00A028C3" w:rsidRPr="001F12F9" w:rsidRDefault="00A10517" w:rsidP="00B3058B">
            <w:pPr>
              <w:rPr>
                <w:sz w:val="20"/>
                <w:szCs w:val="20"/>
              </w:rPr>
            </w:pPr>
            <w:r w:rsidRPr="001F12F9">
              <w:rPr>
                <w:sz w:val="20"/>
                <w:szCs w:val="20"/>
              </w:rPr>
              <w:t xml:space="preserve">Reactivity         </w:t>
            </w:r>
            <w:r w:rsidR="009A0229" w:rsidRPr="001F12F9">
              <w:rPr>
                <w:sz w:val="20"/>
                <w:szCs w:val="20"/>
              </w:rPr>
              <w:t xml:space="preserve">                               0</w:t>
            </w:r>
            <w:r w:rsidRPr="001F12F9">
              <w:rPr>
                <w:sz w:val="20"/>
                <w:szCs w:val="20"/>
              </w:rPr>
              <w:t xml:space="preserve">                           </w:t>
            </w:r>
            <w:r w:rsidR="00B3058B" w:rsidRPr="001F12F9">
              <w:rPr>
                <w:sz w:val="20"/>
                <w:szCs w:val="20"/>
              </w:rPr>
              <w:t xml:space="preserve"> </w:t>
            </w:r>
          </w:p>
        </w:tc>
      </w:tr>
      <w:tr w:rsidR="00A10517" w:rsidRPr="001F12F9" w:rsidTr="00A10517">
        <w:trPr>
          <w:trHeight w:val="262"/>
        </w:trPr>
        <w:tc>
          <w:tcPr>
            <w:tcW w:w="3438" w:type="dxa"/>
          </w:tcPr>
          <w:p w:rsidR="00A10517" w:rsidRPr="001F12F9" w:rsidRDefault="00A10517" w:rsidP="00A10517">
            <w:pPr>
              <w:rPr>
                <w:sz w:val="20"/>
                <w:szCs w:val="20"/>
              </w:rPr>
            </w:pPr>
            <w:r w:rsidRPr="001F12F9">
              <w:rPr>
                <w:sz w:val="20"/>
                <w:szCs w:val="20"/>
              </w:rPr>
              <w:t xml:space="preserve">Personal Protection           </w:t>
            </w:r>
            <w:r w:rsidR="00B3058B" w:rsidRPr="001F12F9">
              <w:rPr>
                <w:sz w:val="20"/>
                <w:szCs w:val="20"/>
              </w:rPr>
              <w:t xml:space="preserve">        </w:t>
            </w:r>
            <w:r w:rsidRPr="001F12F9">
              <w:rPr>
                <w:sz w:val="20"/>
                <w:szCs w:val="20"/>
              </w:rPr>
              <w:t xml:space="preserve"> </w:t>
            </w:r>
            <w:r w:rsidR="00B3058B" w:rsidRPr="001F12F9">
              <w:rPr>
                <w:sz w:val="20"/>
                <w:szCs w:val="20"/>
              </w:rPr>
              <w:t xml:space="preserve"> </w:t>
            </w:r>
            <w:r w:rsidRPr="001F12F9">
              <w:rPr>
                <w:sz w:val="20"/>
                <w:szCs w:val="20"/>
              </w:rPr>
              <w:t xml:space="preserve"> </w:t>
            </w:r>
            <w:r w:rsidR="00B3058B" w:rsidRPr="001F12F9">
              <w:rPr>
                <w:sz w:val="20"/>
                <w:szCs w:val="20"/>
              </w:rPr>
              <w:t xml:space="preserve">B  </w:t>
            </w:r>
            <w:r w:rsidRPr="001F12F9">
              <w:rPr>
                <w:sz w:val="20"/>
                <w:szCs w:val="20"/>
              </w:rPr>
              <w:t xml:space="preserve">          </w:t>
            </w:r>
          </w:p>
        </w:tc>
      </w:tr>
    </w:tbl>
    <w:p w:rsidR="00F03DC4" w:rsidRDefault="00F03DC4" w:rsidP="009A0229">
      <w:pPr>
        <w:spacing w:after="0"/>
        <w:rPr>
          <w:sz w:val="20"/>
          <w:szCs w:val="20"/>
        </w:rPr>
      </w:pPr>
    </w:p>
    <w:p w:rsidR="00CF29B5" w:rsidRDefault="00CF29B5" w:rsidP="009A0229">
      <w:pPr>
        <w:spacing w:after="0"/>
        <w:rPr>
          <w:sz w:val="20"/>
          <w:szCs w:val="20"/>
        </w:rPr>
      </w:pPr>
    </w:p>
    <w:p w:rsidR="008A25D5" w:rsidRDefault="00652DEF" w:rsidP="008A25D5">
      <w:pPr>
        <w:spacing w:after="0"/>
        <w:rPr>
          <w:sz w:val="20"/>
          <w:szCs w:val="20"/>
        </w:rPr>
      </w:pPr>
      <w:r>
        <w:rPr>
          <w:sz w:val="20"/>
          <w:szCs w:val="20"/>
        </w:rPr>
        <w:t>P.I.N - G – 170</w:t>
      </w:r>
    </w:p>
    <w:p w:rsidR="00A774D1" w:rsidRDefault="00A774D1" w:rsidP="008A25D5">
      <w:pPr>
        <w:spacing w:after="0"/>
        <w:rPr>
          <w:sz w:val="20"/>
          <w:szCs w:val="20"/>
        </w:rPr>
      </w:pPr>
    </w:p>
    <w:p w:rsidR="004F23F5" w:rsidRPr="001F12F9" w:rsidRDefault="004F23F5" w:rsidP="008A25D5">
      <w:pPr>
        <w:spacing w:after="0"/>
        <w:rPr>
          <w:sz w:val="20"/>
          <w:szCs w:val="20"/>
        </w:rPr>
      </w:pPr>
    </w:p>
    <w:p w:rsidR="008A25D5" w:rsidRDefault="008A25D5" w:rsidP="009A0229">
      <w:pPr>
        <w:spacing w:after="0"/>
        <w:rPr>
          <w:sz w:val="20"/>
          <w:szCs w:val="20"/>
        </w:rPr>
      </w:pPr>
    </w:p>
    <w:p w:rsidR="008A25D5" w:rsidRDefault="004F23F5" w:rsidP="009A0229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2F8DB9F" wp14:editId="700E2D50">
            <wp:extent cx="2105026" cy="2000356"/>
            <wp:effectExtent l="0" t="0" r="0" b="0"/>
            <wp:docPr id="3" name="Picture 3" descr="C:\Users\amy\AppData\Local\Microsoft\Windows\Temporary Internet Files\Content.Outlook\RAWTWHIB\encore-bad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Outlook\RAWTWHIB\encore-badge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4" cy="20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1D" w:rsidRDefault="00A62D1D" w:rsidP="0081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noProof/>
          <w:color w:val="1F497D"/>
        </w:rPr>
        <w:lastRenderedPageBreak/>
        <w:drawing>
          <wp:inline distT="0" distB="0" distL="0" distR="0" wp14:anchorId="62D87B2B" wp14:editId="25FA0301">
            <wp:extent cx="2438400" cy="676274"/>
            <wp:effectExtent l="0" t="0" r="0" b="0"/>
            <wp:docPr id="1" name="Picture 1" descr="En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r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EF" w:rsidRDefault="00652DEF" w:rsidP="0081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>LITHO TEK EP</w:t>
      </w:r>
    </w:p>
    <w:p w:rsidR="008F344C" w:rsidRPr="00652DEF" w:rsidRDefault="00652DEF" w:rsidP="0081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Bernard MT Condensed" w:hAnsi="Bernard MT Condensed"/>
          <w:b/>
          <w:sz w:val="48"/>
          <w:szCs w:val="48"/>
        </w:rPr>
      </w:pPr>
      <w:r w:rsidRPr="00652DEF">
        <w:rPr>
          <w:rFonts w:ascii="Bernard MT Condensed" w:hAnsi="Bernard MT Condensed"/>
          <w:b/>
          <w:sz w:val="48"/>
          <w:szCs w:val="48"/>
        </w:rPr>
        <w:t>LITHIUM BASED EXTREME PRESSURE GREASE</w:t>
      </w:r>
      <w:r w:rsidR="00984902" w:rsidRPr="00652DEF">
        <w:rPr>
          <w:rFonts w:ascii="Bernard MT Condensed" w:hAnsi="Bernard MT Condensed"/>
          <w:b/>
          <w:sz w:val="48"/>
          <w:szCs w:val="48"/>
        </w:rPr>
        <w:t xml:space="preserve"> </w:t>
      </w:r>
    </w:p>
    <w:p w:rsidR="00E61FF7" w:rsidRDefault="00E61FF7" w:rsidP="00256D21">
      <w:pPr>
        <w:spacing w:after="0"/>
        <w:jc w:val="center"/>
      </w:pPr>
    </w:p>
    <w:p w:rsidR="00782035" w:rsidRDefault="00782035" w:rsidP="00256D2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NLGI – 2</w:t>
      </w:r>
    </w:p>
    <w:p w:rsidR="00782035" w:rsidRDefault="00782035" w:rsidP="00256D21">
      <w:pPr>
        <w:spacing w:after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TimKen</w:t>
      </w:r>
      <w:proofErr w:type="spellEnd"/>
      <w:r>
        <w:rPr>
          <w:sz w:val="18"/>
          <w:szCs w:val="18"/>
        </w:rPr>
        <w:t xml:space="preserve"> Ok Load – 65</w:t>
      </w:r>
      <w:r w:rsidR="00E94CCF">
        <w:rPr>
          <w:sz w:val="18"/>
          <w:szCs w:val="18"/>
        </w:rPr>
        <w:t xml:space="preserve"> LBS</w:t>
      </w:r>
    </w:p>
    <w:p w:rsidR="00075A7C" w:rsidRDefault="00652DEF" w:rsidP="00075A7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High Temp - 400⁰</w:t>
      </w:r>
    </w:p>
    <w:p w:rsidR="00782035" w:rsidRDefault="00652DEF" w:rsidP="00652DE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Low Temp - 0⁰</w:t>
      </w:r>
    </w:p>
    <w:p w:rsidR="00597D9D" w:rsidRDefault="00597D9D" w:rsidP="00652DE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4 – Ball weld point</w:t>
      </w:r>
      <w:r w:rsidR="00D27EB1">
        <w:rPr>
          <w:sz w:val="18"/>
          <w:szCs w:val="18"/>
        </w:rPr>
        <w:t xml:space="preserve"> – 250 kgf</w:t>
      </w:r>
      <w:bookmarkStart w:id="0" w:name="_GoBack"/>
      <w:bookmarkEnd w:id="0"/>
    </w:p>
    <w:p w:rsidR="00597D9D" w:rsidRDefault="00597D9D" w:rsidP="00652DE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Neutral in color</w:t>
      </w:r>
    </w:p>
    <w:p w:rsidR="001A5D82" w:rsidRDefault="001A5D82" w:rsidP="00D935A9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</w:p>
    <w:p w:rsidR="001943A9" w:rsidRPr="008A25D5" w:rsidRDefault="001943A9" w:rsidP="00086C2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</w:tblGrid>
      <w:tr w:rsidR="001943A9" w:rsidRPr="001F12F9" w:rsidTr="001943A9">
        <w:tc>
          <w:tcPr>
            <w:tcW w:w="4056" w:type="dxa"/>
          </w:tcPr>
          <w:p w:rsidR="001943A9" w:rsidRPr="001F12F9" w:rsidRDefault="001943A9" w:rsidP="00256D21">
            <w:pPr>
              <w:jc w:val="center"/>
              <w:rPr>
                <w:b/>
                <w:sz w:val="20"/>
                <w:szCs w:val="20"/>
              </w:rPr>
            </w:pPr>
            <w:r w:rsidRPr="001F12F9">
              <w:rPr>
                <w:b/>
                <w:sz w:val="20"/>
                <w:szCs w:val="20"/>
              </w:rPr>
              <w:t>Keep Out of Reach of Children</w:t>
            </w:r>
          </w:p>
        </w:tc>
      </w:tr>
    </w:tbl>
    <w:p w:rsidR="00555A11" w:rsidRDefault="00555A11" w:rsidP="001943A9">
      <w:pPr>
        <w:pStyle w:val="ListParagraph"/>
        <w:spacing w:after="0"/>
        <w:rPr>
          <w:sz w:val="20"/>
          <w:szCs w:val="20"/>
        </w:rPr>
      </w:pPr>
    </w:p>
    <w:p w:rsidR="001943A9" w:rsidRPr="001F12F9" w:rsidRDefault="00652DEF" w:rsidP="00652DE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943A9" w:rsidRPr="001F12F9">
        <w:rPr>
          <w:sz w:val="20"/>
          <w:szCs w:val="20"/>
        </w:rPr>
        <w:t xml:space="preserve">Net Contents: </w:t>
      </w:r>
      <w:r w:rsidR="00597D9D">
        <w:rPr>
          <w:sz w:val="20"/>
          <w:szCs w:val="20"/>
        </w:rPr>
        <w:t>35LB</w:t>
      </w:r>
    </w:p>
    <w:p w:rsidR="001943A9" w:rsidRDefault="001943A9" w:rsidP="001943A9">
      <w:pPr>
        <w:pStyle w:val="ListParagraph"/>
        <w:spacing w:after="0"/>
        <w:rPr>
          <w:sz w:val="20"/>
          <w:szCs w:val="20"/>
        </w:rPr>
      </w:pPr>
    </w:p>
    <w:p w:rsidR="001943A9" w:rsidRPr="001F12F9" w:rsidRDefault="001943A9" w:rsidP="001943A9">
      <w:pPr>
        <w:spacing w:after="0"/>
        <w:jc w:val="center"/>
        <w:rPr>
          <w:sz w:val="20"/>
          <w:szCs w:val="20"/>
        </w:rPr>
      </w:pPr>
      <w:r w:rsidRPr="001F12F9">
        <w:rPr>
          <w:sz w:val="20"/>
          <w:szCs w:val="20"/>
        </w:rPr>
        <w:t>Encore Industrial Products, LLC</w:t>
      </w:r>
    </w:p>
    <w:p w:rsidR="00597D9D" w:rsidRPr="00EC0BC8" w:rsidRDefault="00597D9D" w:rsidP="00597D9D">
      <w:pPr>
        <w:pStyle w:val="PlainText"/>
        <w:jc w:val="center"/>
        <w:rPr>
          <w:sz w:val="20"/>
          <w:szCs w:val="20"/>
        </w:rPr>
      </w:pPr>
      <w:r w:rsidRPr="00EC0BC8">
        <w:rPr>
          <w:sz w:val="20"/>
          <w:szCs w:val="20"/>
        </w:rPr>
        <w:t>PO Box 300</w:t>
      </w:r>
    </w:p>
    <w:p w:rsidR="00597D9D" w:rsidRPr="00EC0BC8" w:rsidRDefault="00597D9D" w:rsidP="00597D9D">
      <w:pPr>
        <w:pStyle w:val="PlainText"/>
        <w:jc w:val="center"/>
        <w:rPr>
          <w:sz w:val="20"/>
          <w:szCs w:val="20"/>
        </w:rPr>
      </w:pPr>
      <w:r w:rsidRPr="00EC0BC8">
        <w:rPr>
          <w:sz w:val="20"/>
          <w:szCs w:val="20"/>
        </w:rPr>
        <w:t>Barker, TX  77413-0300</w:t>
      </w:r>
    </w:p>
    <w:p w:rsidR="001943A9" w:rsidRPr="001F12F9" w:rsidRDefault="001943A9" w:rsidP="001943A9">
      <w:pPr>
        <w:spacing w:after="0"/>
        <w:jc w:val="center"/>
        <w:rPr>
          <w:sz w:val="20"/>
          <w:szCs w:val="20"/>
        </w:rPr>
      </w:pPr>
      <w:r w:rsidRPr="001F12F9">
        <w:rPr>
          <w:sz w:val="20"/>
          <w:szCs w:val="20"/>
        </w:rPr>
        <w:t>281-944-4777 or 1-877-703-3044</w:t>
      </w:r>
    </w:p>
    <w:p w:rsidR="00652DEF" w:rsidRDefault="00652DEF" w:rsidP="00A62D1D">
      <w:pPr>
        <w:spacing w:after="0"/>
        <w:rPr>
          <w:b/>
          <w:sz w:val="18"/>
          <w:szCs w:val="18"/>
        </w:rPr>
      </w:pPr>
    </w:p>
    <w:p w:rsidR="00555A11" w:rsidRDefault="00652DEF" w:rsidP="00A62D1D">
      <w:pPr>
        <w:spacing w:after="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Litho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Tek</w:t>
      </w:r>
      <w:proofErr w:type="spellEnd"/>
      <w:r w:rsidR="00782035" w:rsidRPr="00D935A9">
        <w:rPr>
          <w:sz w:val="18"/>
          <w:szCs w:val="18"/>
        </w:rPr>
        <w:t xml:space="preserve"> </w:t>
      </w:r>
      <w:r w:rsidR="00E94CCF" w:rsidRPr="00D935A9">
        <w:rPr>
          <w:sz w:val="18"/>
          <w:szCs w:val="18"/>
        </w:rPr>
        <w:t xml:space="preserve">sets the standard for durability &amp; stability under adverse conditions. This industrial grease protects against damaging </w:t>
      </w:r>
      <w:r w:rsidR="00597D9D">
        <w:rPr>
          <w:sz w:val="18"/>
          <w:szCs w:val="18"/>
        </w:rPr>
        <w:t xml:space="preserve">ware and heat stress. </w:t>
      </w:r>
      <w:r w:rsidR="00E94CCF" w:rsidRPr="00D935A9">
        <w:rPr>
          <w:sz w:val="18"/>
          <w:szCs w:val="18"/>
        </w:rPr>
        <w:t xml:space="preserve"> This unique formula is fortified with an EP extreme pressure package for high pressure service applications. Superior rust and oxidation stabilizers help extend equipment service life. </w:t>
      </w:r>
    </w:p>
    <w:p w:rsidR="00597D9D" w:rsidRPr="00E94CCF" w:rsidRDefault="00597D9D" w:rsidP="00A62D1D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</w:tblGrid>
      <w:tr w:rsidR="001943A9" w:rsidRPr="001F12F9" w:rsidTr="001943A9">
        <w:tc>
          <w:tcPr>
            <w:tcW w:w="4056" w:type="dxa"/>
          </w:tcPr>
          <w:p w:rsidR="001943A9" w:rsidRPr="001F12F9" w:rsidRDefault="001943A9" w:rsidP="001943A9">
            <w:pPr>
              <w:jc w:val="center"/>
              <w:rPr>
                <w:b/>
                <w:sz w:val="20"/>
                <w:szCs w:val="20"/>
              </w:rPr>
            </w:pPr>
            <w:r w:rsidRPr="001F12F9">
              <w:rPr>
                <w:b/>
                <w:sz w:val="20"/>
                <w:szCs w:val="20"/>
              </w:rPr>
              <w:t>First Aid Information</w:t>
            </w:r>
          </w:p>
        </w:tc>
      </w:tr>
    </w:tbl>
    <w:p w:rsidR="001943A9" w:rsidRPr="001F12F9" w:rsidRDefault="001943A9" w:rsidP="00A62D1D">
      <w:pPr>
        <w:spacing w:after="0"/>
        <w:rPr>
          <w:sz w:val="20"/>
          <w:szCs w:val="20"/>
        </w:rPr>
      </w:pPr>
    </w:p>
    <w:p w:rsidR="008A25D5" w:rsidRPr="00D935A9" w:rsidRDefault="008A25D5" w:rsidP="008A25D5">
      <w:pPr>
        <w:spacing w:after="0"/>
        <w:rPr>
          <w:sz w:val="16"/>
          <w:szCs w:val="16"/>
        </w:rPr>
      </w:pPr>
      <w:r w:rsidRPr="00D935A9">
        <w:rPr>
          <w:sz w:val="16"/>
          <w:szCs w:val="16"/>
        </w:rPr>
        <w:t>Read MSDS for complete information</w:t>
      </w:r>
    </w:p>
    <w:p w:rsidR="008A25D5" w:rsidRPr="00D935A9" w:rsidRDefault="008A25D5" w:rsidP="008A25D5">
      <w:pPr>
        <w:spacing w:after="0"/>
        <w:rPr>
          <w:sz w:val="16"/>
          <w:szCs w:val="16"/>
        </w:rPr>
      </w:pPr>
      <w:r w:rsidRPr="00D935A9">
        <w:rPr>
          <w:b/>
          <w:sz w:val="16"/>
          <w:szCs w:val="16"/>
        </w:rPr>
        <w:t>Eye Contact</w:t>
      </w:r>
      <w:r w:rsidRPr="00D935A9">
        <w:rPr>
          <w:sz w:val="16"/>
          <w:szCs w:val="16"/>
        </w:rPr>
        <w:t xml:space="preserve"> – Flush eyes with clean water for at least 15 minutes. If irritation occurs call a physician.</w:t>
      </w:r>
    </w:p>
    <w:p w:rsidR="008A25D5" w:rsidRPr="00D935A9" w:rsidRDefault="008A25D5" w:rsidP="008A25D5">
      <w:pPr>
        <w:spacing w:after="0"/>
        <w:rPr>
          <w:sz w:val="16"/>
          <w:szCs w:val="16"/>
        </w:rPr>
      </w:pPr>
      <w:r w:rsidRPr="00D935A9">
        <w:rPr>
          <w:b/>
          <w:sz w:val="16"/>
          <w:szCs w:val="16"/>
        </w:rPr>
        <w:t>Skin contact</w:t>
      </w:r>
      <w:r w:rsidRPr="00D935A9">
        <w:rPr>
          <w:sz w:val="16"/>
          <w:szCs w:val="16"/>
        </w:rPr>
        <w:t xml:space="preserve"> – Wash skin with soap and water, if irritation occurs, call a physician.</w:t>
      </w:r>
    </w:p>
    <w:p w:rsidR="008A25D5" w:rsidRPr="00D935A9" w:rsidRDefault="008A25D5" w:rsidP="008A25D5">
      <w:pPr>
        <w:spacing w:after="0"/>
        <w:rPr>
          <w:sz w:val="16"/>
          <w:szCs w:val="16"/>
        </w:rPr>
      </w:pPr>
      <w:r w:rsidRPr="00D935A9">
        <w:rPr>
          <w:b/>
          <w:sz w:val="16"/>
          <w:szCs w:val="16"/>
        </w:rPr>
        <w:t>Ingestion</w:t>
      </w:r>
      <w:r w:rsidRPr="00D935A9">
        <w:rPr>
          <w:sz w:val="16"/>
          <w:szCs w:val="16"/>
        </w:rPr>
        <w:t xml:space="preserve"> – Do not induce vomiting and give large quantities of water. Call a physician immediately if stomach pains or nausea occur.</w:t>
      </w:r>
    </w:p>
    <w:p w:rsidR="00075A7C" w:rsidRDefault="00075A7C" w:rsidP="00A62D1D">
      <w:pPr>
        <w:spacing w:after="0"/>
        <w:rPr>
          <w:sz w:val="20"/>
          <w:szCs w:val="20"/>
        </w:rPr>
      </w:pPr>
    </w:p>
    <w:p w:rsidR="00086C23" w:rsidRPr="001F12F9" w:rsidRDefault="00C42846" w:rsidP="00A62D1D">
      <w:pPr>
        <w:spacing w:after="0"/>
        <w:rPr>
          <w:sz w:val="20"/>
          <w:szCs w:val="20"/>
        </w:rPr>
      </w:pPr>
      <w:r w:rsidRPr="001F12F9">
        <w:rPr>
          <w:sz w:val="20"/>
          <w:szCs w:val="20"/>
        </w:rPr>
        <w:t>T</w:t>
      </w:r>
      <w:r w:rsidR="00086C23" w:rsidRPr="001F12F9">
        <w:rPr>
          <w:sz w:val="20"/>
          <w:szCs w:val="20"/>
        </w:rPr>
        <w:t>o reorder call:</w:t>
      </w:r>
    </w:p>
    <w:p w:rsidR="00086C23" w:rsidRDefault="00086C23" w:rsidP="00A62D1D">
      <w:pPr>
        <w:spacing w:after="0"/>
        <w:rPr>
          <w:sz w:val="20"/>
          <w:szCs w:val="20"/>
        </w:rPr>
      </w:pPr>
      <w:r w:rsidRPr="001F12F9">
        <w:rPr>
          <w:sz w:val="20"/>
          <w:szCs w:val="20"/>
        </w:rPr>
        <w:t>1-877-703-3044 or 281-944-4777</w:t>
      </w:r>
    </w:p>
    <w:p w:rsidR="00652DEF" w:rsidRDefault="00652DEF" w:rsidP="00A62D1D">
      <w:pPr>
        <w:spacing w:after="0"/>
        <w:rPr>
          <w:sz w:val="20"/>
          <w:szCs w:val="20"/>
        </w:rPr>
      </w:pPr>
    </w:p>
    <w:p w:rsidR="001E0E53" w:rsidRDefault="001E0E53" w:rsidP="00A62D1D">
      <w:pPr>
        <w:spacing w:after="0"/>
        <w:rPr>
          <w:sz w:val="20"/>
          <w:szCs w:val="20"/>
        </w:rPr>
      </w:pPr>
    </w:p>
    <w:p w:rsidR="004F23F5" w:rsidRDefault="004F23F5" w:rsidP="00A62D1D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FF4F637" wp14:editId="63966542">
            <wp:extent cx="2105026" cy="2000356"/>
            <wp:effectExtent l="0" t="0" r="0" b="0"/>
            <wp:docPr id="6" name="Picture 6" descr="C:\Users\amy\AppData\Local\Microsoft\Windows\Temporary Internet Files\Content.Outlook\RAWTWHIB\encore-bad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Outlook\RAWTWHIB\encore-badge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4" cy="20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F5" w:rsidRDefault="004F23F5" w:rsidP="00A62D1D">
      <w:pPr>
        <w:spacing w:after="0"/>
        <w:rPr>
          <w:sz w:val="20"/>
          <w:szCs w:val="20"/>
        </w:rPr>
      </w:pPr>
    </w:p>
    <w:sectPr w:rsidR="004F23F5" w:rsidSect="004F23F5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98" w:rsidRDefault="00837498" w:rsidP="00DB76DF">
      <w:pPr>
        <w:spacing w:after="0" w:line="240" w:lineRule="auto"/>
      </w:pPr>
      <w:r>
        <w:separator/>
      </w:r>
    </w:p>
  </w:endnote>
  <w:endnote w:type="continuationSeparator" w:id="0">
    <w:p w:rsidR="00837498" w:rsidRDefault="00837498" w:rsidP="00DB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98" w:rsidRDefault="00837498" w:rsidP="00DB76DF">
      <w:pPr>
        <w:spacing w:after="0" w:line="240" w:lineRule="auto"/>
      </w:pPr>
      <w:r>
        <w:separator/>
      </w:r>
    </w:p>
  </w:footnote>
  <w:footnote w:type="continuationSeparator" w:id="0">
    <w:p w:rsidR="00837498" w:rsidRDefault="00837498" w:rsidP="00DB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97"/>
    <w:multiLevelType w:val="hybridMultilevel"/>
    <w:tmpl w:val="83E42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1650E"/>
    <w:multiLevelType w:val="hybridMultilevel"/>
    <w:tmpl w:val="2D321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C3A01"/>
    <w:multiLevelType w:val="hybridMultilevel"/>
    <w:tmpl w:val="E5022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D"/>
    <w:rsid w:val="000047D3"/>
    <w:rsid w:val="000246CE"/>
    <w:rsid w:val="00047AB2"/>
    <w:rsid w:val="0006224C"/>
    <w:rsid w:val="00075A7C"/>
    <w:rsid w:val="00086C23"/>
    <w:rsid w:val="000C2BAA"/>
    <w:rsid w:val="000D327C"/>
    <w:rsid w:val="000E0714"/>
    <w:rsid w:val="00116C6F"/>
    <w:rsid w:val="001943A9"/>
    <w:rsid w:val="001A5D82"/>
    <w:rsid w:val="001E0E53"/>
    <w:rsid w:val="001F0222"/>
    <w:rsid w:val="001F12F9"/>
    <w:rsid w:val="00220A53"/>
    <w:rsid w:val="00256D21"/>
    <w:rsid w:val="00272526"/>
    <w:rsid w:val="00276322"/>
    <w:rsid w:val="002A0056"/>
    <w:rsid w:val="002A0D37"/>
    <w:rsid w:val="002D63FF"/>
    <w:rsid w:val="00310E9A"/>
    <w:rsid w:val="00332D22"/>
    <w:rsid w:val="003A7A8C"/>
    <w:rsid w:val="003C60F8"/>
    <w:rsid w:val="003E5D64"/>
    <w:rsid w:val="00497DB6"/>
    <w:rsid w:val="004D39B1"/>
    <w:rsid w:val="004F23F5"/>
    <w:rsid w:val="005206A4"/>
    <w:rsid w:val="00555A11"/>
    <w:rsid w:val="00571A21"/>
    <w:rsid w:val="00577CF2"/>
    <w:rsid w:val="00581221"/>
    <w:rsid w:val="005913D5"/>
    <w:rsid w:val="00592BEA"/>
    <w:rsid w:val="00597D9D"/>
    <w:rsid w:val="005C465B"/>
    <w:rsid w:val="005E7224"/>
    <w:rsid w:val="00652DEF"/>
    <w:rsid w:val="006867E8"/>
    <w:rsid w:val="0071047D"/>
    <w:rsid w:val="00740842"/>
    <w:rsid w:val="00782035"/>
    <w:rsid w:val="007C019A"/>
    <w:rsid w:val="007E79D1"/>
    <w:rsid w:val="00811351"/>
    <w:rsid w:val="008227D5"/>
    <w:rsid w:val="00837498"/>
    <w:rsid w:val="008849B5"/>
    <w:rsid w:val="00892E36"/>
    <w:rsid w:val="008A25D5"/>
    <w:rsid w:val="008F344C"/>
    <w:rsid w:val="00927D42"/>
    <w:rsid w:val="0095601C"/>
    <w:rsid w:val="00957680"/>
    <w:rsid w:val="00984902"/>
    <w:rsid w:val="009A0229"/>
    <w:rsid w:val="009A6DDF"/>
    <w:rsid w:val="009C4CDE"/>
    <w:rsid w:val="009D7DE1"/>
    <w:rsid w:val="009E7FE0"/>
    <w:rsid w:val="00A028C3"/>
    <w:rsid w:val="00A10517"/>
    <w:rsid w:val="00A317BD"/>
    <w:rsid w:val="00A62D1D"/>
    <w:rsid w:val="00A74359"/>
    <w:rsid w:val="00A774D1"/>
    <w:rsid w:val="00AE57FC"/>
    <w:rsid w:val="00B3058B"/>
    <w:rsid w:val="00B51236"/>
    <w:rsid w:val="00B611C5"/>
    <w:rsid w:val="00BB043C"/>
    <w:rsid w:val="00BE3985"/>
    <w:rsid w:val="00C05E45"/>
    <w:rsid w:val="00C15117"/>
    <w:rsid w:val="00C42846"/>
    <w:rsid w:val="00C54A91"/>
    <w:rsid w:val="00CB291B"/>
    <w:rsid w:val="00CF29B5"/>
    <w:rsid w:val="00CF41D5"/>
    <w:rsid w:val="00D27EB1"/>
    <w:rsid w:val="00D86513"/>
    <w:rsid w:val="00D935A9"/>
    <w:rsid w:val="00DB76DF"/>
    <w:rsid w:val="00E12691"/>
    <w:rsid w:val="00E20012"/>
    <w:rsid w:val="00E33A3C"/>
    <w:rsid w:val="00E5028C"/>
    <w:rsid w:val="00E61FF7"/>
    <w:rsid w:val="00E94CCF"/>
    <w:rsid w:val="00F03DC4"/>
    <w:rsid w:val="00F12358"/>
    <w:rsid w:val="00F3436B"/>
    <w:rsid w:val="00F70014"/>
    <w:rsid w:val="00FB2D4D"/>
    <w:rsid w:val="00FC7968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2D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F"/>
  </w:style>
  <w:style w:type="paragraph" w:styleId="Footer">
    <w:name w:val="footer"/>
    <w:basedOn w:val="Normal"/>
    <w:link w:val="FooterChar"/>
    <w:uiPriority w:val="99"/>
    <w:unhideWhenUsed/>
    <w:rsid w:val="00D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F"/>
  </w:style>
  <w:style w:type="paragraph" w:styleId="ListParagraph">
    <w:name w:val="List Paragraph"/>
    <w:basedOn w:val="Normal"/>
    <w:uiPriority w:val="34"/>
    <w:qFormat/>
    <w:rsid w:val="00F12358"/>
    <w:pPr>
      <w:ind w:left="720"/>
      <w:contextualSpacing/>
    </w:pPr>
  </w:style>
  <w:style w:type="character" w:customStyle="1" w:styleId="hps">
    <w:name w:val="hps"/>
    <w:basedOn w:val="DefaultParagraphFont"/>
    <w:rsid w:val="00E61FF7"/>
  </w:style>
  <w:style w:type="table" w:styleId="TableGrid">
    <w:name w:val="Table Grid"/>
    <w:basedOn w:val="TableNormal"/>
    <w:uiPriority w:val="59"/>
    <w:rsid w:val="0011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97D9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D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2D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F"/>
  </w:style>
  <w:style w:type="paragraph" w:styleId="Footer">
    <w:name w:val="footer"/>
    <w:basedOn w:val="Normal"/>
    <w:link w:val="FooterChar"/>
    <w:uiPriority w:val="99"/>
    <w:unhideWhenUsed/>
    <w:rsid w:val="00D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F"/>
  </w:style>
  <w:style w:type="paragraph" w:styleId="ListParagraph">
    <w:name w:val="List Paragraph"/>
    <w:basedOn w:val="Normal"/>
    <w:uiPriority w:val="34"/>
    <w:qFormat/>
    <w:rsid w:val="00F12358"/>
    <w:pPr>
      <w:ind w:left="720"/>
      <w:contextualSpacing/>
    </w:pPr>
  </w:style>
  <w:style w:type="character" w:customStyle="1" w:styleId="hps">
    <w:name w:val="hps"/>
    <w:basedOn w:val="DefaultParagraphFont"/>
    <w:rsid w:val="00E61FF7"/>
  </w:style>
  <w:style w:type="table" w:styleId="TableGrid">
    <w:name w:val="Table Grid"/>
    <w:basedOn w:val="TableNormal"/>
    <w:uiPriority w:val="59"/>
    <w:rsid w:val="0011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97D9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D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CDFFCC.2B0EBD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59DE-B0DD-4E37-9482-6130CFD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cp:lastPrinted>2013-10-08T14:52:00Z</cp:lastPrinted>
  <dcterms:created xsi:type="dcterms:W3CDTF">2013-10-07T17:16:00Z</dcterms:created>
  <dcterms:modified xsi:type="dcterms:W3CDTF">2013-10-08T16:22:00Z</dcterms:modified>
</cp:coreProperties>
</file>