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0"/>
      </w:tblGrid>
      <w:tr w:rsidR="00841273" w:rsidRPr="00841273" w:rsidTr="00841273">
        <w:tc>
          <w:tcPr>
            <w:tcW w:w="3336" w:type="dxa"/>
          </w:tcPr>
          <w:p w:rsidR="00841273" w:rsidRPr="00841273" w:rsidRDefault="00841273" w:rsidP="00841273">
            <w:pPr>
              <w:tabs>
                <w:tab w:val="left" w:pos="0"/>
              </w:tabs>
              <w:jc w:val="center"/>
              <w:rPr>
                <w:b/>
                <w:sz w:val="20"/>
                <w:szCs w:val="20"/>
              </w:rPr>
            </w:pPr>
            <w:r w:rsidRPr="00841273">
              <w:rPr>
                <w:b/>
                <w:sz w:val="20"/>
                <w:szCs w:val="20"/>
              </w:rPr>
              <w:t>Directions for Use</w:t>
            </w:r>
          </w:p>
        </w:tc>
      </w:tr>
    </w:tbl>
    <w:p w:rsidR="00841273" w:rsidRDefault="00841273" w:rsidP="00841273">
      <w:pPr>
        <w:tabs>
          <w:tab w:val="left" w:pos="0"/>
        </w:tabs>
        <w:spacing w:after="0"/>
        <w:rPr>
          <w:b/>
          <w:sz w:val="18"/>
          <w:szCs w:val="18"/>
        </w:rPr>
      </w:pPr>
    </w:p>
    <w:p w:rsidR="00472120" w:rsidRPr="00472120" w:rsidRDefault="00472120" w:rsidP="00472120">
      <w:pPr>
        <w:tabs>
          <w:tab w:val="left" w:pos="0"/>
        </w:tabs>
        <w:spacing w:after="0"/>
        <w:rPr>
          <w:sz w:val="16"/>
          <w:szCs w:val="16"/>
        </w:rPr>
      </w:pPr>
      <w:r w:rsidRPr="00472120">
        <w:rPr>
          <w:sz w:val="16"/>
          <w:szCs w:val="16"/>
        </w:rPr>
        <w:t>1. PRP is used for repairing potholes and utility cuts in highways, roads, streets, parking areas, and driveways. PRP adheres to steel and is used for repairs around manholes and drainage grates.</w:t>
      </w:r>
    </w:p>
    <w:p w:rsidR="00472120" w:rsidRPr="00472120" w:rsidRDefault="00472120" w:rsidP="00472120">
      <w:pPr>
        <w:tabs>
          <w:tab w:val="left" w:pos="0"/>
        </w:tabs>
        <w:spacing w:after="0"/>
        <w:rPr>
          <w:sz w:val="16"/>
          <w:szCs w:val="16"/>
        </w:rPr>
      </w:pPr>
      <w:r w:rsidRPr="00472120">
        <w:rPr>
          <w:sz w:val="16"/>
          <w:szCs w:val="16"/>
        </w:rPr>
        <w:t xml:space="preserve">2. PRP is ready for use from the </w:t>
      </w:r>
      <w:r w:rsidR="002F0C65">
        <w:rPr>
          <w:sz w:val="16"/>
          <w:szCs w:val="16"/>
        </w:rPr>
        <w:t>pail</w:t>
      </w:r>
      <w:bookmarkStart w:id="0" w:name="_GoBack"/>
      <w:bookmarkEnd w:id="0"/>
      <w:r w:rsidRPr="00472120">
        <w:rPr>
          <w:sz w:val="16"/>
          <w:szCs w:val="16"/>
        </w:rPr>
        <w:t>. No mixing or tack coat is required as. Pour directly from the pail into the pothole.</w:t>
      </w:r>
    </w:p>
    <w:p w:rsidR="00472120" w:rsidRPr="00472120" w:rsidRDefault="00472120" w:rsidP="00472120">
      <w:pPr>
        <w:tabs>
          <w:tab w:val="left" w:pos="0"/>
        </w:tabs>
        <w:spacing w:after="0"/>
        <w:rPr>
          <w:sz w:val="16"/>
          <w:szCs w:val="16"/>
        </w:rPr>
      </w:pPr>
      <w:r w:rsidRPr="00472120">
        <w:rPr>
          <w:sz w:val="16"/>
          <w:szCs w:val="16"/>
        </w:rPr>
        <w:t xml:space="preserve">3. PRP can be used </w:t>
      </w:r>
      <w:proofErr w:type="gramStart"/>
      <w:r w:rsidRPr="00472120">
        <w:rPr>
          <w:sz w:val="16"/>
          <w:szCs w:val="16"/>
        </w:rPr>
        <w:t>at all times</w:t>
      </w:r>
      <w:proofErr w:type="gramEnd"/>
      <w:r w:rsidRPr="00472120">
        <w:rPr>
          <w:sz w:val="16"/>
          <w:szCs w:val="16"/>
        </w:rPr>
        <w:t xml:space="preserve"> of the year and in all weather conditions.</w:t>
      </w:r>
    </w:p>
    <w:p w:rsidR="00472120" w:rsidRPr="00472120" w:rsidRDefault="00472120" w:rsidP="00472120">
      <w:pPr>
        <w:tabs>
          <w:tab w:val="left" w:pos="0"/>
        </w:tabs>
        <w:spacing w:after="0"/>
        <w:rPr>
          <w:sz w:val="16"/>
          <w:szCs w:val="16"/>
        </w:rPr>
      </w:pPr>
      <w:r w:rsidRPr="00472120">
        <w:rPr>
          <w:sz w:val="16"/>
          <w:szCs w:val="16"/>
        </w:rPr>
        <w:t>4. PRP displaces water and may be poured directly into potholes containing standing water.</w:t>
      </w:r>
    </w:p>
    <w:p w:rsidR="00472120" w:rsidRPr="00472120" w:rsidRDefault="00472120" w:rsidP="00472120">
      <w:pPr>
        <w:tabs>
          <w:tab w:val="left" w:pos="0"/>
        </w:tabs>
        <w:spacing w:after="0"/>
        <w:rPr>
          <w:sz w:val="16"/>
          <w:szCs w:val="16"/>
        </w:rPr>
      </w:pPr>
      <w:r w:rsidRPr="00472120">
        <w:rPr>
          <w:sz w:val="16"/>
          <w:szCs w:val="16"/>
        </w:rPr>
        <w:t>5. Small loose aggregate can be left in place. Large loose aggregate should be removed.</w:t>
      </w:r>
    </w:p>
    <w:p w:rsidR="00472120" w:rsidRPr="00472120" w:rsidRDefault="00472120" w:rsidP="00472120">
      <w:pPr>
        <w:tabs>
          <w:tab w:val="left" w:pos="0"/>
        </w:tabs>
        <w:spacing w:after="0"/>
        <w:rPr>
          <w:sz w:val="16"/>
          <w:szCs w:val="16"/>
        </w:rPr>
      </w:pPr>
      <w:r w:rsidRPr="00472120">
        <w:rPr>
          <w:sz w:val="16"/>
          <w:szCs w:val="16"/>
        </w:rPr>
        <w:t>6. Use PRP instead of hot mix asphalt for repairs of utility cuts and cable trenches for longer lasting repairs.</w:t>
      </w:r>
    </w:p>
    <w:p w:rsidR="00472120" w:rsidRPr="00472120" w:rsidRDefault="00472120" w:rsidP="00472120">
      <w:pPr>
        <w:tabs>
          <w:tab w:val="left" w:pos="0"/>
        </w:tabs>
        <w:spacing w:after="0"/>
        <w:rPr>
          <w:sz w:val="16"/>
          <w:szCs w:val="16"/>
        </w:rPr>
      </w:pPr>
      <w:r w:rsidRPr="00472120">
        <w:rPr>
          <w:sz w:val="16"/>
          <w:szCs w:val="16"/>
        </w:rPr>
        <w:t>7. Allow traffic to immediately drive over a repaired pothole – the more traffic, the faster the setup time.</w:t>
      </w:r>
    </w:p>
    <w:p w:rsidR="00472120" w:rsidRPr="00472120" w:rsidRDefault="00472120" w:rsidP="00472120">
      <w:pPr>
        <w:tabs>
          <w:tab w:val="left" w:pos="0"/>
        </w:tabs>
        <w:spacing w:after="0"/>
        <w:rPr>
          <w:sz w:val="16"/>
          <w:szCs w:val="16"/>
        </w:rPr>
      </w:pPr>
      <w:r w:rsidRPr="00472120">
        <w:rPr>
          <w:sz w:val="16"/>
          <w:szCs w:val="16"/>
        </w:rPr>
        <w:t>8. Clean tools with soy based cleansers or with solvents like kerosene and mineral spirits (paint thinner).</w:t>
      </w:r>
    </w:p>
    <w:p w:rsidR="00472120" w:rsidRPr="00472120" w:rsidRDefault="00472120" w:rsidP="00472120">
      <w:pPr>
        <w:tabs>
          <w:tab w:val="left" w:pos="0"/>
        </w:tabs>
        <w:spacing w:after="0"/>
        <w:rPr>
          <w:sz w:val="16"/>
          <w:szCs w:val="16"/>
        </w:rPr>
      </w:pPr>
      <w:r w:rsidRPr="00472120">
        <w:rPr>
          <w:sz w:val="16"/>
          <w:szCs w:val="16"/>
        </w:rPr>
        <w:t>9. Do not apply heat to PRP or use kerosene, mineral spirits (paint thinner), or any other solvents in the application and use of PRP.</w:t>
      </w:r>
    </w:p>
    <w:p w:rsidR="0058134E" w:rsidRPr="00472120" w:rsidRDefault="00472120" w:rsidP="00472120">
      <w:pPr>
        <w:tabs>
          <w:tab w:val="left" w:pos="0"/>
        </w:tabs>
        <w:spacing w:after="0"/>
        <w:rPr>
          <w:sz w:val="16"/>
          <w:szCs w:val="16"/>
        </w:rPr>
      </w:pPr>
      <w:r w:rsidRPr="00472120">
        <w:rPr>
          <w:sz w:val="16"/>
          <w:szCs w:val="16"/>
        </w:rPr>
        <w:t>10. Areas patched with PRP can be resurfaced like any other pavement.</w:t>
      </w:r>
    </w:p>
    <w:p w:rsidR="00841273" w:rsidRDefault="00841273" w:rsidP="00841273">
      <w:pPr>
        <w:pBdr>
          <w:top w:val="single" w:sz="4" w:space="1" w:color="auto"/>
          <w:left w:val="single" w:sz="4" w:space="4" w:color="auto"/>
          <w:bottom w:val="single" w:sz="4" w:space="1" w:color="auto"/>
          <w:right w:val="single" w:sz="4" w:space="4" w:color="auto"/>
        </w:pBdr>
        <w:shd w:val="clear" w:color="auto" w:fill="FFFFFF" w:themeFill="background1"/>
        <w:spacing w:after="0"/>
        <w:jc w:val="center"/>
      </w:pPr>
      <w:r>
        <w:rPr>
          <w:noProof/>
          <w:color w:val="1F497D"/>
        </w:rPr>
        <w:drawing>
          <wp:inline distT="0" distB="0" distL="0" distR="0" wp14:anchorId="7A9CE04B" wp14:editId="6F559727">
            <wp:extent cx="1957596" cy="542926"/>
            <wp:effectExtent l="0" t="0" r="5080" b="0"/>
            <wp:docPr id="1" name="Picture 1" descr="E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57596" cy="542926"/>
                    </a:xfrm>
                    <a:prstGeom prst="rect">
                      <a:avLst/>
                    </a:prstGeom>
                    <a:noFill/>
                    <a:ln>
                      <a:noFill/>
                    </a:ln>
                  </pic:spPr>
                </pic:pic>
              </a:graphicData>
            </a:graphic>
          </wp:inline>
        </w:drawing>
      </w:r>
    </w:p>
    <w:p w:rsidR="00841273" w:rsidRPr="00273CDD" w:rsidRDefault="0058134E" w:rsidP="00841273">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Bernard MT Condensed" w:hAnsi="Bernard MT Condensed"/>
          <w:b/>
          <w:sz w:val="56"/>
          <w:szCs w:val="56"/>
        </w:rPr>
      </w:pPr>
      <w:r>
        <w:rPr>
          <w:rFonts w:ascii="Bernard MT Condensed" w:hAnsi="Bernard MT Condensed"/>
          <w:b/>
          <w:sz w:val="56"/>
          <w:szCs w:val="56"/>
        </w:rPr>
        <w:t>PRP</w:t>
      </w:r>
    </w:p>
    <w:p w:rsidR="00841273" w:rsidRPr="00E94CCF" w:rsidRDefault="0058134E" w:rsidP="00841273">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b/>
          <w:sz w:val="28"/>
          <w:szCs w:val="28"/>
        </w:rPr>
      </w:pPr>
      <w:r>
        <w:rPr>
          <w:b/>
          <w:sz w:val="28"/>
          <w:szCs w:val="28"/>
        </w:rPr>
        <w:t>Pothole Repair Patch</w:t>
      </w:r>
    </w:p>
    <w:p w:rsidR="0058134E" w:rsidRDefault="0058134E" w:rsidP="00841273">
      <w:pPr>
        <w:spacing w:after="0"/>
        <w:jc w:val="center"/>
        <w:rPr>
          <w:b/>
          <w:sz w:val="18"/>
          <w:szCs w:val="18"/>
        </w:rPr>
      </w:pPr>
    </w:p>
    <w:p w:rsidR="00841273" w:rsidRDefault="0058134E" w:rsidP="00841273">
      <w:pPr>
        <w:spacing w:after="0"/>
        <w:jc w:val="center"/>
        <w:rPr>
          <w:b/>
          <w:sz w:val="18"/>
          <w:szCs w:val="18"/>
        </w:rPr>
      </w:pPr>
      <w:r>
        <w:rPr>
          <w:b/>
          <w:sz w:val="18"/>
          <w:szCs w:val="18"/>
        </w:rPr>
        <w:t>Superior cold patch</w:t>
      </w:r>
    </w:p>
    <w:p w:rsidR="0058134E" w:rsidRDefault="0058134E" w:rsidP="00841273">
      <w:pPr>
        <w:spacing w:after="0"/>
        <w:jc w:val="center"/>
        <w:rPr>
          <w:b/>
          <w:sz w:val="18"/>
          <w:szCs w:val="18"/>
        </w:rPr>
      </w:pPr>
      <w:r>
        <w:rPr>
          <w:b/>
          <w:sz w:val="18"/>
          <w:szCs w:val="18"/>
        </w:rPr>
        <w:t>Contains proprietary plastics</w:t>
      </w:r>
    </w:p>
    <w:p w:rsidR="0058134E" w:rsidRDefault="0058134E" w:rsidP="00841273">
      <w:pPr>
        <w:spacing w:after="0"/>
        <w:jc w:val="center"/>
        <w:rPr>
          <w:b/>
          <w:sz w:val="18"/>
          <w:szCs w:val="18"/>
        </w:rPr>
      </w:pPr>
      <w:r>
        <w:rPr>
          <w:b/>
          <w:sz w:val="18"/>
          <w:szCs w:val="18"/>
        </w:rPr>
        <w:t>No tack coat required</w:t>
      </w:r>
    </w:p>
    <w:p w:rsidR="0058134E" w:rsidRDefault="0058134E" w:rsidP="00841273">
      <w:pPr>
        <w:spacing w:after="0"/>
        <w:jc w:val="center"/>
        <w:rPr>
          <w:b/>
          <w:sz w:val="18"/>
          <w:szCs w:val="18"/>
        </w:rPr>
      </w:pPr>
      <w:r>
        <w:rPr>
          <w:b/>
          <w:sz w:val="18"/>
          <w:szCs w:val="18"/>
        </w:rPr>
        <w:t>More durable than hot mix</w:t>
      </w:r>
    </w:p>
    <w:p w:rsidR="0058134E" w:rsidRDefault="0058134E" w:rsidP="00841273">
      <w:pPr>
        <w:spacing w:after="0"/>
        <w:jc w:val="center"/>
        <w:rPr>
          <w:b/>
          <w:sz w:val="18"/>
          <w:szCs w:val="18"/>
        </w:rPr>
      </w:pPr>
      <w:r>
        <w:rPr>
          <w:b/>
          <w:sz w:val="18"/>
          <w:szCs w:val="18"/>
        </w:rPr>
        <w:t>Performs like a large expansion joint</w:t>
      </w:r>
    </w:p>
    <w:p w:rsidR="0058134E" w:rsidRDefault="0058134E" w:rsidP="00841273">
      <w:pPr>
        <w:spacing w:after="0"/>
        <w:jc w:val="center"/>
        <w:rPr>
          <w:b/>
          <w:sz w:val="18"/>
          <w:szCs w:val="18"/>
        </w:rPr>
      </w:pPr>
      <w:r>
        <w:rPr>
          <w:b/>
          <w:sz w:val="18"/>
          <w:szCs w:val="18"/>
        </w:rPr>
        <w:t>Temperature range 0 to above 100 degrees</w:t>
      </w:r>
    </w:p>
    <w:p w:rsidR="0058134E" w:rsidRDefault="0058134E" w:rsidP="00841273">
      <w:pPr>
        <w:spacing w:after="0"/>
        <w:jc w:val="center"/>
        <w:rPr>
          <w:b/>
          <w:sz w:val="18"/>
          <w:szCs w:val="18"/>
        </w:rPr>
      </w:pPr>
    </w:p>
    <w:p w:rsidR="0058134E" w:rsidRDefault="0058134E" w:rsidP="00841273">
      <w:pPr>
        <w:spacing w:after="0"/>
        <w:jc w:val="center"/>
        <w:rPr>
          <w:b/>
          <w:sz w:val="18"/>
          <w:szCs w:val="18"/>
        </w:rPr>
      </w:pPr>
      <w:r>
        <w:rPr>
          <w:b/>
          <w:sz w:val="18"/>
          <w:szCs w:val="18"/>
        </w:rPr>
        <w:t>Weight: 60 lbs.</w:t>
      </w:r>
    </w:p>
    <w:p w:rsidR="0058134E" w:rsidRDefault="0058134E" w:rsidP="00841273">
      <w:pPr>
        <w:spacing w:after="0"/>
        <w:jc w:val="center"/>
        <w:rPr>
          <w:b/>
          <w:sz w:val="18"/>
          <w:szCs w:val="18"/>
        </w:rPr>
      </w:pPr>
    </w:p>
    <w:p w:rsidR="0058134E" w:rsidRDefault="0058134E" w:rsidP="00841273">
      <w:pPr>
        <w:spacing w:after="0"/>
        <w:jc w:val="center"/>
        <w:rPr>
          <w:b/>
          <w:sz w:val="18"/>
          <w:szCs w:val="18"/>
        </w:rPr>
      </w:pPr>
    </w:p>
    <w:p w:rsidR="00FF1AE8" w:rsidRDefault="00FF1AE8" w:rsidP="00841273">
      <w:pPr>
        <w:spacing w:after="0"/>
        <w:jc w:val="center"/>
        <w:rPr>
          <w:b/>
          <w:sz w:val="18"/>
          <w:szCs w:val="18"/>
        </w:rPr>
      </w:pPr>
    </w:p>
    <w:tbl>
      <w:tblPr>
        <w:tblStyle w:val="TableGrid"/>
        <w:tblW w:w="0" w:type="auto"/>
        <w:tblLook w:val="04A0" w:firstRow="1" w:lastRow="0" w:firstColumn="1" w:lastColumn="0" w:noHBand="0" w:noVBand="1"/>
      </w:tblPr>
      <w:tblGrid>
        <w:gridCol w:w="3110"/>
      </w:tblGrid>
      <w:tr w:rsidR="00841273" w:rsidRPr="00841273" w:rsidTr="00841273">
        <w:tc>
          <w:tcPr>
            <w:tcW w:w="3336" w:type="dxa"/>
          </w:tcPr>
          <w:p w:rsidR="00841273" w:rsidRPr="00841273" w:rsidRDefault="00841273" w:rsidP="004C0463">
            <w:pPr>
              <w:jc w:val="center"/>
              <w:rPr>
                <w:b/>
                <w:sz w:val="18"/>
                <w:szCs w:val="18"/>
              </w:rPr>
            </w:pPr>
            <w:r w:rsidRPr="00841273">
              <w:rPr>
                <w:b/>
                <w:sz w:val="18"/>
                <w:szCs w:val="18"/>
              </w:rPr>
              <w:t>Keep Out of Reach of Children</w:t>
            </w:r>
          </w:p>
        </w:tc>
      </w:tr>
    </w:tbl>
    <w:p w:rsidR="00841273" w:rsidRDefault="00841273" w:rsidP="00841273">
      <w:pPr>
        <w:spacing w:after="0"/>
        <w:jc w:val="center"/>
        <w:rPr>
          <w:b/>
          <w:sz w:val="20"/>
          <w:szCs w:val="20"/>
        </w:rPr>
      </w:pPr>
    </w:p>
    <w:p w:rsidR="00841273" w:rsidRPr="00841273" w:rsidRDefault="00841273" w:rsidP="00841273">
      <w:pPr>
        <w:spacing w:after="0"/>
        <w:jc w:val="center"/>
        <w:rPr>
          <w:b/>
          <w:sz w:val="20"/>
          <w:szCs w:val="20"/>
        </w:rPr>
      </w:pPr>
      <w:r w:rsidRPr="00841273">
        <w:rPr>
          <w:b/>
          <w:sz w:val="20"/>
          <w:szCs w:val="20"/>
        </w:rPr>
        <w:t>Encore Industrial Products, LLC</w:t>
      </w:r>
    </w:p>
    <w:p w:rsidR="00841273" w:rsidRPr="00841273" w:rsidRDefault="00841273" w:rsidP="00841273">
      <w:pPr>
        <w:spacing w:after="0"/>
        <w:jc w:val="center"/>
        <w:rPr>
          <w:b/>
          <w:sz w:val="20"/>
          <w:szCs w:val="20"/>
        </w:rPr>
      </w:pPr>
      <w:r w:rsidRPr="00841273">
        <w:rPr>
          <w:b/>
          <w:sz w:val="20"/>
          <w:szCs w:val="20"/>
        </w:rPr>
        <w:t>PO Box 300, Barker, TX 77413</w:t>
      </w:r>
    </w:p>
    <w:p w:rsidR="00841273" w:rsidRPr="00841273" w:rsidRDefault="00841273" w:rsidP="00841273">
      <w:pPr>
        <w:spacing w:after="0"/>
        <w:jc w:val="center"/>
        <w:rPr>
          <w:b/>
          <w:sz w:val="20"/>
          <w:szCs w:val="20"/>
        </w:rPr>
      </w:pPr>
      <w:r w:rsidRPr="00841273">
        <w:rPr>
          <w:b/>
          <w:sz w:val="20"/>
          <w:szCs w:val="20"/>
        </w:rPr>
        <w:t>281-944-4777 or 1-877-703-3044</w:t>
      </w:r>
    </w:p>
    <w:p w:rsidR="007A0899" w:rsidRDefault="007A0899" w:rsidP="00841273">
      <w:pPr>
        <w:spacing w:after="0"/>
        <w:rPr>
          <w:b/>
          <w:sz w:val="18"/>
          <w:szCs w:val="18"/>
        </w:rPr>
      </w:pPr>
    </w:p>
    <w:p w:rsidR="007A0899" w:rsidRDefault="003430F1" w:rsidP="00841273">
      <w:pPr>
        <w:spacing w:after="0"/>
        <w:rPr>
          <w:b/>
          <w:sz w:val="18"/>
          <w:szCs w:val="18"/>
        </w:rPr>
      </w:pPr>
      <w:r>
        <w:rPr>
          <w:noProof/>
        </w:rPr>
        <w:drawing>
          <wp:inline distT="0" distB="0" distL="0" distR="0" wp14:anchorId="42884ABB" wp14:editId="01A7AFF2">
            <wp:extent cx="1466850" cy="1314864"/>
            <wp:effectExtent l="0" t="0" r="0" b="0"/>
            <wp:docPr id="3" name="Picture 3" descr="C:\Users\amy\AppData\Local\Microsoft\Windows\Temporary Internet Files\Content.Outlook\RAWTWHIB\encore-bad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Temporary Internet Files\Content.Outlook\RAWTWHIB\encore-badg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591" cy="1326285"/>
                    </a:xfrm>
                    <a:prstGeom prst="rect">
                      <a:avLst/>
                    </a:prstGeom>
                    <a:noFill/>
                    <a:ln>
                      <a:noFill/>
                    </a:ln>
                  </pic:spPr>
                </pic:pic>
              </a:graphicData>
            </a:graphic>
          </wp:inline>
        </w:drawing>
      </w:r>
    </w:p>
    <w:p w:rsidR="003430F1" w:rsidRDefault="003430F1" w:rsidP="00841273">
      <w:pPr>
        <w:spacing w:after="0"/>
        <w:rPr>
          <w:b/>
          <w:sz w:val="18"/>
          <w:szCs w:val="18"/>
        </w:rPr>
      </w:pPr>
    </w:p>
    <w:p w:rsidR="003430F1" w:rsidRPr="00E3112F" w:rsidRDefault="003430F1" w:rsidP="003430F1">
      <w:pPr>
        <w:spacing w:after="0"/>
        <w:rPr>
          <w:b/>
          <w:sz w:val="18"/>
          <w:szCs w:val="18"/>
        </w:rPr>
      </w:pPr>
      <w:r w:rsidRPr="00E3112F">
        <w:rPr>
          <w:b/>
          <w:sz w:val="18"/>
          <w:szCs w:val="18"/>
        </w:rPr>
        <w:t>To reorder call:</w:t>
      </w:r>
    </w:p>
    <w:p w:rsidR="003430F1" w:rsidRPr="00E3112F" w:rsidRDefault="003430F1" w:rsidP="003430F1">
      <w:pPr>
        <w:spacing w:after="0"/>
        <w:rPr>
          <w:b/>
          <w:sz w:val="18"/>
          <w:szCs w:val="18"/>
        </w:rPr>
      </w:pPr>
      <w:r w:rsidRPr="00E3112F">
        <w:rPr>
          <w:b/>
          <w:sz w:val="18"/>
          <w:szCs w:val="18"/>
        </w:rPr>
        <w:t>1-877-703-3044 or 281-944-4777</w:t>
      </w:r>
    </w:p>
    <w:p w:rsidR="003430F1" w:rsidRDefault="003430F1" w:rsidP="00841273">
      <w:pPr>
        <w:spacing w:after="0"/>
        <w:rPr>
          <w:b/>
          <w:sz w:val="18"/>
          <w:szCs w:val="18"/>
        </w:rPr>
      </w:pPr>
    </w:p>
    <w:p w:rsidR="00857BE7" w:rsidRPr="00857BE7" w:rsidRDefault="00857BE7" w:rsidP="00841273">
      <w:pPr>
        <w:spacing w:after="0"/>
        <w:rPr>
          <w:b/>
          <w:sz w:val="16"/>
          <w:szCs w:val="16"/>
        </w:rPr>
      </w:pPr>
    </w:p>
    <w:p w:rsidR="006F69C2" w:rsidRPr="00857BE7" w:rsidRDefault="006F69C2" w:rsidP="00841273">
      <w:pPr>
        <w:spacing w:after="0"/>
        <w:rPr>
          <w:b/>
          <w:sz w:val="16"/>
          <w:szCs w:val="16"/>
        </w:rPr>
      </w:pPr>
      <w:r w:rsidRPr="00857BE7">
        <w:rPr>
          <w:b/>
          <w:sz w:val="16"/>
          <w:szCs w:val="16"/>
        </w:rPr>
        <w:t>Warranty</w:t>
      </w:r>
    </w:p>
    <w:p w:rsidR="006F69C2" w:rsidRPr="00857BE7" w:rsidRDefault="006F69C2" w:rsidP="00841273">
      <w:pPr>
        <w:spacing w:after="0"/>
        <w:rPr>
          <w:sz w:val="16"/>
          <w:szCs w:val="16"/>
        </w:rPr>
      </w:pPr>
      <w:r w:rsidRPr="00857BE7">
        <w:rPr>
          <w:sz w:val="16"/>
          <w:szCs w:val="16"/>
        </w:rPr>
        <w:t>Encore Industrial Products, LLC warrants our product to be free of manufacturing defects. Liability for product proven defective</w:t>
      </w:r>
      <w:r w:rsidR="00857BE7">
        <w:rPr>
          <w:sz w:val="16"/>
          <w:szCs w:val="16"/>
        </w:rPr>
        <w:t>, i</w:t>
      </w:r>
      <w:r w:rsidRPr="00857BE7">
        <w:rPr>
          <w:sz w:val="16"/>
          <w:szCs w:val="16"/>
        </w:rPr>
        <w:t>f any</w:t>
      </w:r>
      <w:r w:rsidR="00857BE7">
        <w:rPr>
          <w:sz w:val="16"/>
          <w:szCs w:val="16"/>
        </w:rPr>
        <w:t>,</w:t>
      </w:r>
      <w:r w:rsidRPr="00857BE7">
        <w:rPr>
          <w:sz w:val="16"/>
          <w:szCs w:val="16"/>
        </w:rPr>
        <w:t xml:space="preserve"> is limited to replacement of defective product or refund of the purchase price paid for the defective product as determined </w:t>
      </w:r>
      <w:r w:rsidR="00857BE7" w:rsidRPr="00857BE7">
        <w:rPr>
          <w:sz w:val="16"/>
          <w:szCs w:val="16"/>
        </w:rPr>
        <w:t>by</w:t>
      </w:r>
      <w:r w:rsidRPr="00857BE7">
        <w:rPr>
          <w:sz w:val="16"/>
          <w:szCs w:val="16"/>
        </w:rPr>
        <w:t xml:space="preserve"> Encore Industrial Products, LLC. No other warranty or guarantee of any kind is made by Encore Industrial Products, LLC expressed or implied, statutory, by operations or law or otherwise including merchantability and fitness for a </w:t>
      </w:r>
      <w:proofErr w:type="gramStart"/>
      <w:r w:rsidRPr="00857BE7">
        <w:rPr>
          <w:sz w:val="16"/>
          <w:szCs w:val="16"/>
        </w:rPr>
        <w:t>particular purpose</w:t>
      </w:r>
      <w:proofErr w:type="gramEnd"/>
      <w:r w:rsidRPr="00857BE7">
        <w:rPr>
          <w:sz w:val="16"/>
          <w:szCs w:val="16"/>
        </w:rPr>
        <w:t>.</w:t>
      </w:r>
    </w:p>
    <w:p w:rsidR="00E3112F" w:rsidRPr="00857BE7" w:rsidRDefault="00E3112F" w:rsidP="00E3112F">
      <w:pPr>
        <w:spacing w:after="0"/>
        <w:rPr>
          <w:b/>
          <w:sz w:val="20"/>
          <w:szCs w:val="20"/>
        </w:rPr>
      </w:pPr>
      <w:r w:rsidRPr="00857BE7">
        <w:rPr>
          <w:b/>
          <w:sz w:val="20"/>
          <w:szCs w:val="20"/>
        </w:rPr>
        <w:t>www.encoreindustrial.com</w:t>
      </w:r>
    </w:p>
    <w:sectPr w:rsidR="00E3112F" w:rsidRPr="00857BE7" w:rsidSect="00841273">
      <w:pgSz w:w="12240" w:h="8640" w:orient="landscape"/>
      <w:pgMar w:top="720" w:right="720" w:bottom="720" w:left="720" w:header="720" w:footer="720" w:gutter="0"/>
      <w:pgBorders w:offsetFrom="page">
        <w:top w:val="single" w:sz="36" w:space="24" w:color="7030A0"/>
        <w:left w:val="single" w:sz="36" w:space="24" w:color="7030A0"/>
        <w:bottom w:val="single" w:sz="36" w:space="24" w:color="7030A0"/>
        <w:right w:val="single" w:sz="36" w:space="24" w:color="7030A0"/>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246CE"/>
    <w:rsid w:val="00220FDD"/>
    <w:rsid w:val="002F0C65"/>
    <w:rsid w:val="00310CFB"/>
    <w:rsid w:val="003430F1"/>
    <w:rsid w:val="00472120"/>
    <w:rsid w:val="0058134E"/>
    <w:rsid w:val="006F69C2"/>
    <w:rsid w:val="007A0899"/>
    <w:rsid w:val="00841273"/>
    <w:rsid w:val="00857BE7"/>
    <w:rsid w:val="00927D42"/>
    <w:rsid w:val="00E030F2"/>
    <w:rsid w:val="00E3112F"/>
    <w:rsid w:val="00FF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E027"/>
  <w15:docId w15:val="{57166D44-CC8D-478C-8817-8EFD740B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73"/>
    <w:rPr>
      <w:rFonts w:ascii="Tahoma" w:hAnsi="Tahoma" w:cs="Tahoma"/>
      <w:sz w:val="16"/>
      <w:szCs w:val="16"/>
    </w:rPr>
  </w:style>
  <w:style w:type="character" w:styleId="Hyperlink">
    <w:name w:val="Hyperlink"/>
    <w:basedOn w:val="DefaultParagraphFont"/>
    <w:uiPriority w:val="99"/>
    <w:unhideWhenUsed/>
    <w:rsid w:val="00E31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png@01CDFFCC.2B0EBD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Brian Gulley</cp:lastModifiedBy>
  <cp:revision>3</cp:revision>
  <cp:lastPrinted>2018-01-12T23:10:00Z</cp:lastPrinted>
  <dcterms:created xsi:type="dcterms:W3CDTF">2018-01-12T16:37:00Z</dcterms:created>
  <dcterms:modified xsi:type="dcterms:W3CDTF">2018-01-12T23:10:00Z</dcterms:modified>
</cp:coreProperties>
</file>